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DICHIARAZIONE DI NON AVERE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ALTRI RAPPORTI DI IMPIEGO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ATA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5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______________________________________________________________________ nato il ______________________________</w:t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a____________________________________________________________ residente a _________________________________________________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via ____________________________________________________________________________________, avendo sottoscritto in data odierna un contratto di lavoro nel profilo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□ DSGA           □ Ass. Amm.vo        □ Collaboratore Scolastico</w:t>
      </w:r>
    </w:p>
    <w:p w:rsidR="00000000" w:rsidDel="00000000" w:rsidP="00000000" w:rsidRDefault="00000000" w:rsidRPr="00000000" w14:paraId="0000001D">
      <w:pPr>
        <w:spacing w:line="360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servizio  con   contratto  a   tempo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□  indeterminato         □ determinato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ai sensi di quanto previsto dall’art.53 del Decreto Legislativo 30 marzo 2001 n 165 e successive modifiche,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sotto la propria personale responsabilità, di non avere altri rapporti di impiego pubblico o privato e di non trovarsi nelle situazioni di incompatibilità richiamate dall’art. 53 del Decreto Legislativo 30 marzo 2001 n 165 così come modificato dal Decreto Legislativo 150/2009.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fede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Geat6xtWPkfow4RunVlh5mesQ==">CgMxLjA4AHIhMU9mUHBfMnJiT0RDZy04TWJTdTFyS2hVUjA3VllzeF84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